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E28F6">
      <w:pPr>
        <w:bidi w:val="0"/>
        <w:spacing w:line="480" w:lineRule="auto"/>
        <w:ind w:left="0" w:leftChars="0" w:firstLine="0" w:firstLineChars="0"/>
        <w:jc w:val="center"/>
        <w:outlineLvl w:val="9"/>
        <w:rPr>
          <w:rFonts w:hint="eastAsia" w:ascii="宋体" w:hAnsi="宋体" w:cs="宋体"/>
          <w:b/>
          <w:bCs/>
          <w:sz w:val="36"/>
          <w:szCs w:val="36"/>
          <w:lang w:eastAsia="zh-CN"/>
        </w:rPr>
      </w:pPr>
      <w:bookmarkStart w:id="0" w:name="_Toc28731"/>
      <w:r>
        <w:rPr>
          <w:rFonts w:hint="eastAsia" w:ascii="宋体" w:hAnsi="宋体" w:cs="宋体"/>
          <w:b/>
          <w:bCs/>
          <w:sz w:val="36"/>
          <w:szCs w:val="36"/>
          <w:lang w:eastAsia="zh-CN"/>
        </w:rPr>
        <w:t>成都市温江区和盛镇中心幼儿园</w:t>
      </w:r>
    </w:p>
    <w:p w14:paraId="6FCF9C83">
      <w:pPr>
        <w:bidi w:val="0"/>
        <w:spacing w:line="480" w:lineRule="auto"/>
        <w:ind w:left="0" w:leftChars="0" w:firstLine="0" w:firstLineChars="0"/>
        <w:jc w:val="center"/>
        <w:outlineLvl w:val="9"/>
        <w:rPr>
          <w:rFonts w:hint="eastAsia" w:ascii="宋体" w:hAnsi="宋体" w:cs="宋体"/>
          <w:b/>
          <w:color w:val="auto"/>
          <w:sz w:val="36"/>
          <w:szCs w:val="36"/>
          <w:lang w:val="en-US" w:eastAsia="zh-CN"/>
        </w:rPr>
      </w:pPr>
      <w:r>
        <w:rPr>
          <w:rFonts w:hint="eastAsia" w:cs="宋体"/>
          <w:b/>
          <w:bCs/>
          <w:sz w:val="36"/>
          <w:szCs w:val="36"/>
          <w:lang w:eastAsia="zh-CN"/>
        </w:rPr>
        <w:t>后操场地面改造</w:t>
      </w:r>
      <w:r>
        <w:rPr>
          <w:rFonts w:hint="eastAsia" w:ascii="宋体" w:hAnsi="宋体" w:eastAsia="宋体" w:cs="宋体"/>
          <w:b/>
          <w:bCs/>
          <w:sz w:val="36"/>
          <w:szCs w:val="36"/>
        </w:rPr>
        <w:t>项目</w:t>
      </w:r>
      <w:r>
        <w:rPr>
          <w:rFonts w:hint="eastAsia" w:cs="宋体"/>
          <w:b/>
          <w:bCs/>
          <w:sz w:val="36"/>
          <w:szCs w:val="36"/>
          <w:lang w:val="en-US" w:eastAsia="zh-CN"/>
        </w:rPr>
        <w:t>比选公告</w:t>
      </w:r>
    </w:p>
    <w:p w14:paraId="086C9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sz w:val="24"/>
          <w:szCs w:val="24"/>
          <w:u w:val="none"/>
          <w:lang w:eastAsia="zh-CN"/>
        </w:rPr>
        <w:t>成都市温江区和盛镇中心幼儿园</w:t>
      </w:r>
      <w:r>
        <w:rPr>
          <w:rFonts w:hint="eastAsia" w:ascii="宋体" w:hAnsi="宋体" w:eastAsia="宋体" w:cs="宋体"/>
          <w:sz w:val="24"/>
          <w:szCs w:val="24"/>
          <w:highlight w:val="none"/>
        </w:rPr>
        <w:t>拟对</w:t>
      </w:r>
      <w:r>
        <w:rPr>
          <w:rFonts w:hint="eastAsia" w:ascii="宋体" w:hAnsi="宋体"/>
          <w:sz w:val="24"/>
          <w:szCs w:val="24"/>
          <w:u w:val="none"/>
          <w:lang w:eastAsia="zh-CN"/>
        </w:rPr>
        <w:t>后操场地面改造项目</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公开</w:t>
      </w:r>
      <w:r>
        <w:rPr>
          <w:rFonts w:hint="eastAsia" w:ascii="宋体" w:hAnsi="宋体" w:eastAsia="宋体" w:cs="宋体"/>
          <w:sz w:val="24"/>
          <w:szCs w:val="24"/>
          <w:highlight w:val="none"/>
        </w:rPr>
        <w:t>比选，欢迎符合资质要求的供应商前来参加。</w:t>
      </w:r>
    </w:p>
    <w:p w14:paraId="6C21112D">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ascii="宋体" w:hAnsi="宋体" w:eastAsia="宋体" w:cs="宋体"/>
          <w:b/>
          <w:bCs/>
          <w:sz w:val="24"/>
          <w:szCs w:val="24"/>
          <w:lang w:val="en-US" w:eastAsia="zh-CN"/>
        </w:rPr>
      </w:pPr>
      <w:r>
        <w:rPr>
          <w:rFonts w:hint="eastAsia"/>
          <w:b/>
          <w:bCs/>
          <w:sz w:val="24"/>
          <w:szCs w:val="24"/>
          <w:lang w:eastAsia="zh-CN"/>
        </w:rPr>
        <w:t>一、</w:t>
      </w:r>
      <w:r>
        <w:rPr>
          <w:rFonts w:hint="eastAsia"/>
          <w:b/>
          <w:bCs/>
          <w:sz w:val="24"/>
          <w:szCs w:val="24"/>
        </w:rPr>
        <w:t>项目</w:t>
      </w:r>
      <w:r>
        <w:rPr>
          <w:rFonts w:hint="eastAsia"/>
          <w:b/>
          <w:bCs/>
          <w:sz w:val="24"/>
          <w:szCs w:val="24"/>
          <w:lang w:eastAsia="zh-CN"/>
        </w:rPr>
        <w:t>名称：成都市温江区和盛镇中心幼儿园出入口防撞柱设备</w:t>
      </w:r>
      <w:r>
        <w:rPr>
          <w:rFonts w:hint="eastAsia"/>
          <w:b/>
          <w:bCs/>
          <w:sz w:val="24"/>
          <w:szCs w:val="24"/>
          <w:lang w:val="en-US" w:eastAsia="zh-CN"/>
        </w:rPr>
        <w:t>采购</w:t>
      </w:r>
      <w:r>
        <w:rPr>
          <w:rFonts w:hint="eastAsia"/>
          <w:b/>
          <w:bCs/>
          <w:sz w:val="24"/>
          <w:szCs w:val="24"/>
          <w:lang w:eastAsia="zh-CN"/>
        </w:rPr>
        <w:t>项目</w:t>
      </w:r>
    </w:p>
    <w:p w14:paraId="271DB6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lang w:val="en-US" w:eastAsia="zh-CN"/>
        </w:rPr>
      </w:pPr>
      <w:r>
        <w:rPr>
          <w:rFonts w:hint="eastAsia"/>
          <w:b/>
          <w:bCs/>
          <w:sz w:val="24"/>
          <w:szCs w:val="24"/>
          <w:lang w:val="en-US" w:eastAsia="zh-CN"/>
        </w:rPr>
        <w:t>二、项目预算：</w:t>
      </w:r>
      <w:r>
        <w:rPr>
          <w:rFonts w:hint="eastAsia" w:cs="宋体"/>
          <w:sz w:val="24"/>
          <w:szCs w:val="24"/>
          <w:highlight w:val="none"/>
          <w:lang w:val="en-US" w:eastAsia="zh-CN"/>
        </w:rPr>
        <w:t>87</w:t>
      </w:r>
      <w:r>
        <w:rPr>
          <w:rFonts w:hint="eastAsia" w:ascii="宋体" w:hAnsi="宋体" w:cs="宋体"/>
          <w:sz w:val="24"/>
          <w:szCs w:val="24"/>
          <w:highlight w:val="none"/>
          <w:lang w:val="en-US" w:eastAsia="zh-CN"/>
        </w:rPr>
        <w:t>00</w:t>
      </w:r>
      <w:r>
        <w:rPr>
          <w:rFonts w:hint="eastAsia" w:cs="宋体"/>
          <w:sz w:val="24"/>
          <w:szCs w:val="24"/>
          <w:highlight w:val="none"/>
          <w:lang w:val="en-US" w:eastAsia="zh-CN"/>
        </w:rPr>
        <w:t>0</w:t>
      </w:r>
      <w:r>
        <w:rPr>
          <w:rFonts w:hint="eastAsia" w:ascii="宋体" w:hAnsi="宋体" w:cs="宋体"/>
          <w:sz w:val="24"/>
          <w:szCs w:val="24"/>
          <w:highlight w:val="none"/>
          <w:lang w:val="en-US" w:eastAsia="zh-CN"/>
        </w:rPr>
        <w:t>.00（</w:t>
      </w:r>
      <w:r>
        <w:rPr>
          <w:rFonts w:hint="eastAsia" w:cs="宋体"/>
          <w:sz w:val="24"/>
          <w:szCs w:val="24"/>
          <w:highlight w:val="none"/>
          <w:lang w:val="en-US" w:eastAsia="zh-CN"/>
        </w:rPr>
        <w:t>捌万柒仟</w:t>
      </w:r>
      <w:r>
        <w:rPr>
          <w:rFonts w:hint="eastAsia" w:ascii="宋体" w:hAnsi="宋体" w:cs="宋体"/>
          <w:sz w:val="24"/>
          <w:szCs w:val="24"/>
          <w:highlight w:val="none"/>
          <w:lang w:val="en-US" w:eastAsia="zh-CN"/>
        </w:rPr>
        <w:t>元整）</w:t>
      </w:r>
    </w:p>
    <w:p w14:paraId="7ED6D9E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both"/>
        <w:textAlignment w:val="auto"/>
        <w:rPr>
          <w:rFonts w:hint="eastAsia"/>
          <w:b/>
          <w:bCs/>
          <w:sz w:val="24"/>
          <w:szCs w:val="24"/>
          <w:lang w:eastAsia="zh-CN"/>
        </w:rPr>
      </w:pPr>
      <w:r>
        <w:rPr>
          <w:rFonts w:hint="eastAsia"/>
          <w:b/>
          <w:bCs/>
          <w:sz w:val="24"/>
          <w:szCs w:val="24"/>
          <w:lang w:eastAsia="zh-CN"/>
        </w:rPr>
        <w:t>三、资金来源：专项资金</w:t>
      </w:r>
    </w:p>
    <w:p w14:paraId="1A76619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sz w:val="24"/>
          <w:szCs w:val="24"/>
          <w:highlight w:val="none"/>
          <w:lang w:val="en-US" w:eastAsia="zh-CN"/>
        </w:rPr>
      </w:pPr>
      <w:r>
        <w:rPr>
          <w:rFonts w:hint="eastAsia" w:cs="宋体"/>
          <w:b/>
          <w:bCs/>
          <w:sz w:val="24"/>
          <w:szCs w:val="24"/>
          <w:highlight w:val="none"/>
          <w:lang w:val="en-US" w:eastAsia="zh-CN"/>
        </w:rPr>
        <w:t>四</w:t>
      </w:r>
      <w:r>
        <w:rPr>
          <w:rFonts w:hint="eastAsia" w:ascii="宋体" w:hAnsi="宋体" w:eastAsia="宋体" w:cs="宋体"/>
          <w:b/>
          <w:bCs/>
          <w:sz w:val="24"/>
          <w:szCs w:val="24"/>
          <w:highlight w:val="none"/>
          <w:lang w:val="en-US" w:eastAsia="zh-CN"/>
        </w:rPr>
        <w:t>、供应商邀请方式</w:t>
      </w:r>
      <w:r>
        <w:rPr>
          <w:rFonts w:hint="eastAsia" w:ascii="宋体" w:hAnsi="宋体" w:eastAsia="宋体" w:cs="宋体"/>
          <w:sz w:val="24"/>
          <w:szCs w:val="24"/>
          <w:highlight w:val="none"/>
          <w:lang w:val="en-US" w:eastAsia="zh-CN"/>
        </w:rPr>
        <w:t>：本次采购采取在</w:t>
      </w:r>
      <w:r>
        <w:rPr>
          <w:rFonts w:hint="eastAsia" w:ascii="宋体" w:hAnsi="宋体" w:cs="宋体"/>
          <w:sz w:val="24"/>
          <w:szCs w:val="24"/>
          <w:highlight w:val="none"/>
          <w:u w:val="single"/>
          <w:lang w:val="en-US" w:eastAsia="zh-CN"/>
        </w:rPr>
        <w:t>成都市温江区和盛镇中心儿园网站</w:t>
      </w:r>
      <w:r>
        <w:rPr>
          <w:rFonts w:hint="eastAsia" w:cs="宋体"/>
          <w:sz w:val="24"/>
          <w:szCs w:val="24"/>
          <w:highlight w:val="none"/>
          <w:lang w:val="en-US" w:eastAsia="zh-CN"/>
        </w:rPr>
        <w:t>进行公示</w:t>
      </w:r>
      <w:r>
        <w:rPr>
          <w:rFonts w:hint="eastAsia" w:ascii="宋体" w:hAnsi="宋体" w:eastAsia="宋体" w:cs="宋体"/>
          <w:sz w:val="24"/>
          <w:szCs w:val="24"/>
          <w:highlight w:val="none"/>
          <w:lang w:val="en-US" w:eastAsia="zh-CN"/>
        </w:rPr>
        <w:t>。</w:t>
      </w:r>
    </w:p>
    <w:p w14:paraId="3776D1E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bCs/>
          <w:lang w:eastAsia="zh-CN"/>
        </w:rPr>
      </w:pPr>
      <w:r>
        <w:rPr>
          <w:rFonts w:hint="eastAsia"/>
          <w:b/>
          <w:bCs/>
          <w:lang w:eastAsia="zh-CN"/>
        </w:rPr>
        <w:t>五、</w:t>
      </w:r>
      <w:r>
        <w:rPr>
          <w:rFonts w:hint="eastAsia"/>
          <w:b/>
          <w:bCs/>
          <w:lang w:val="en-US" w:eastAsia="zh-CN"/>
        </w:rPr>
        <w:t>申请比选的</w:t>
      </w:r>
      <w:r>
        <w:rPr>
          <w:rFonts w:hint="eastAsia"/>
          <w:b/>
          <w:bCs/>
          <w:lang w:eastAsia="zh-CN"/>
        </w:rPr>
        <w:t>条件：</w:t>
      </w:r>
    </w:p>
    <w:p w14:paraId="1DF7AD92">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具有独立承担民事责任的能力；</w:t>
      </w:r>
    </w:p>
    <w:p w14:paraId="7105B5AF">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具有良好的商业信誉和健全的财务会计制度；</w:t>
      </w:r>
    </w:p>
    <w:p w14:paraId="737B4659">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具有履行合同所必需的设备和专业技术能力；</w:t>
      </w:r>
    </w:p>
    <w:p w14:paraId="573D00D3">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有依法缴纳税收和社会保障资金的良好记录；</w:t>
      </w:r>
    </w:p>
    <w:p w14:paraId="57EBE9D3">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参加采购活动前三年内，在经营活动中没有重大违法记录；</w:t>
      </w:r>
    </w:p>
    <w:p w14:paraId="6E4FEE82">
      <w:pPr>
        <w:pageBreakBefore w:val="0"/>
        <w:numPr>
          <w:ilvl w:val="0"/>
          <w:numId w:val="2"/>
        </w:numPr>
        <w:kinsoku/>
        <w:wordWrap/>
        <w:overflowPunct/>
        <w:topLinePunct w:val="0"/>
        <w:autoSpaceDE/>
        <w:autoSpaceDN/>
        <w:bidi w:val="0"/>
        <w:adjustRightInd/>
        <w:spacing w:line="440" w:lineRule="exact"/>
        <w:ind w:left="0" w:leftChars="0" w:firstLine="420" w:firstLineChars="0"/>
        <w:textAlignment w:val="auto"/>
        <w:rPr>
          <w:rFonts w:hint="eastAsia"/>
          <w:lang w:eastAsia="zh-CN"/>
        </w:rPr>
      </w:pPr>
      <w:r>
        <w:rPr>
          <w:rFonts w:hint="eastAsia"/>
          <w:lang w:eastAsia="zh-CN"/>
        </w:rPr>
        <w:t>法律、行政法规规定的其他条件；</w:t>
      </w:r>
    </w:p>
    <w:p w14:paraId="52764B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2" w:firstLineChars="200"/>
        <w:textAlignment w:val="auto"/>
      </w:pPr>
      <w:r>
        <w:rPr>
          <w:rStyle w:val="18"/>
          <w:rFonts w:hint="eastAsia"/>
          <w:lang w:eastAsia="zh-CN"/>
        </w:rPr>
        <w:t>六</w:t>
      </w:r>
      <w:r>
        <w:rPr>
          <w:rStyle w:val="18"/>
        </w:rPr>
        <w:t>、</w:t>
      </w:r>
      <w:r>
        <w:rPr>
          <w:rStyle w:val="18"/>
          <w:rFonts w:hint="eastAsia"/>
          <w:lang w:val="en-US" w:eastAsia="zh-CN"/>
        </w:rPr>
        <w:t>比选</w:t>
      </w:r>
      <w:r>
        <w:rPr>
          <w:rStyle w:val="18"/>
          <w:rFonts w:hint="eastAsia"/>
          <w:lang w:eastAsia="zh-CN"/>
        </w:rPr>
        <w:t>时需提供的资料</w:t>
      </w:r>
      <w:r>
        <w:rPr>
          <w:rStyle w:val="18"/>
        </w:rPr>
        <w:t>：</w:t>
      </w:r>
    </w:p>
    <w:p w14:paraId="3854979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pPr>
      <w:r>
        <w:rPr>
          <w:rFonts w:hint="eastAsia"/>
          <w:lang w:eastAsia="zh-CN"/>
        </w:rPr>
        <w:t>（</w:t>
      </w:r>
      <w:r>
        <w:rPr>
          <w:rFonts w:hint="eastAsia"/>
          <w:lang w:val="en-US" w:eastAsia="zh-CN"/>
        </w:rPr>
        <w:t>一</w:t>
      </w:r>
      <w:r>
        <w:rPr>
          <w:rFonts w:hint="eastAsia"/>
          <w:lang w:eastAsia="zh-CN"/>
        </w:rPr>
        <w:t>）</w:t>
      </w:r>
      <w:r>
        <w:rPr>
          <w:rFonts w:hint="eastAsia"/>
          <w:lang w:val="en-US" w:eastAsia="zh-CN"/>
        </w:rPr>
        <w:t>项目报价表（格式自拟）</w:t>
      </w:r>
      <w:r>
        <w:t>；</w:t>
      </w:r>
    </w:p>
    <w:p w14:paraId="6F50803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lang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法定代表人身份证复印件</w:t>
      </w:r>
      <w:r>
        <w:rPr>
          <w:rFonts w:hint="eastAsia"/>
          <w:lang w:eastAsia="zh-CN"/>
        </w:rPr>
        <w:t>；</w:t>
      </w:r>
    </w:p>
    <w:p w14:paraId="347D94D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lang w:val="en-US" w:eastAsia="zh-CN"/>
        </w:rPr>
      </w:pPr>
      <w:r>
        <w:rPr>
          <w:rFonts w:hint="eastAsia"/>
          <w:lang w:val="en-US" w:eastAsia="zh-CN"/>
        </w:rPr>
        <w:t>（三）项目实施方案（格式自拟）；</w:t>
      </w:r>
    </w:p>
    <w:p w14:paraId="48769E5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lang w:val="en-US" w:eastAsia="zh-CN"/>
        </w:rPr>
      </w:pPr>
      <w:r>
        <w:rPr>
          <w:rFonts w:hint="eastAsia"/>
          <w:lang w:val="en-US" w:eastAsia="zh-CN"/>
        </w:rPr>
        <w:t>（四）售后服务方案（格式自拟）；</w:t>
      </w:r>
    </w:p>
    <w:p w14:paraId="7D3638B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default"/>
          <w:lang w:val="en-US" w:eastAsia="zh-CN"/>
        </w:rPr>
      </w:pPr>
      <w:r>
        <w:rPr>
          <w:rFonts w:hint="eastAsia"/>
          <w:lang w:val="en-US" w:eastAsia="zh-CN"/>
        </w:rPr>
        <w:t>（五）营业执照复印件；</w:t>
      </w:r>
    </w:p>
    <w:p w14:paraId="540B947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0" w:firstLineChars="200"/>
        <w:textAlignment w:val="auto"/>
        <w:rPr>
          <w:rFonts w:hint="eastAsia" w:ascii="宋体" w:hAnsi="宋体" w:eastAsia="宋体" w:cs="宋体"/>
          <w:kern w:val="2"/>
          <w:sz w:val="24"/>
          <w:szCs w:val="24"/>
          <w:highlight w:val="none"/>
          <w:lang w:val="en-US" w:eastAsia="zh-CN" w:bidi="ar-SA"/>
        </w:rPr>
      </w:pPr>
      <w:r>
        <w:rPr>
          <w:rFonts w:hint="eastAsia"/>
          <w:lang w:val="en-US" w:eastAsia="zh-CN"/>
        </w:rPr>
        <w:t>（六）供应商认为需要提供的其他材料。</w:t>
      </w:r>
      <w:bookmarkStart w:id="1" w:name="PO_默认文件内容_47"/>
    </w:p>
    <w:bookmarkEnd w:id="1"/>
    <w:p w14:paraId="091964F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kern w:val="2"/>
          <w:sz w:val="24"/>
          <w:szCs w:val="24"/>
          <w:highlight w:val="none"/>
          <w:lang w:val="en-US" w:eastAsia="zh-CN" w:bidi="ar-SA"/>
        </w:rPr>
      </w:pPr>
      <w:bookmarkStart w:id="2" w:name="OLE_LINK2"/>
      <w:bookmarkStart w:id="3" w:name="OLE_LINK1"/>
      <w:r>
        <w:rPr>
          <w:rFonts w:hint="eastAsia" w:ascii="宋体" w:hAnsi="宋体" w:cs="宋体"/>
          <w:b/>
          <w:bCs/>
          <w:kern w:val="2"/>
          <w:sz w:val="24"/>
          <w:szCs w:val="24"/>
          <w:highlight w:val="none"/>
          <w:lang w:val="en-US" w:eastAsia="zh-CN" w:bidi="ar-SA"/>
        </w:rPr>
        <w:t>七</w:t>
      </w:r>
      <w:r>
        <w:rPr>
          <w:rFonts w:hint="eastAsia" w:ascii="宋体" w:hAnsi="宋体" w:eastAsia="宋体" w:cs="宋体"/>
          <w:b/>
          <w:bCs/>
          <w:kern w:val="2"/>
          <w:sz w:val="24"/>
          <w:szCs w:val="24"/>
          <w:highlight w:val="none"/>
          <w:lang w:val="en-US" w:eastAsia="zh-CN" w:bidi="ar-SA"/>
        </w:rPr>
        <w:t>、递交比选文件截止时间</w:t>
      </w:r>
      <w:bookmarkEnd w:id="2"/>
      <w:bookmarkEnd w:id="3"/>
      <w:r>
        <w:rPr>
          <w:rFonts w:hint="eastAsia" w:cs="宋体"/>
          <w:b/>
          <w:bCs/>
          <w:kern w:val="2"/>
          <w:sz w:val="24"/>
          <w:szCs w:val="24"/>
          <w:highlight w:val="none"/>
          <w:lang w:val="en-US" w:eastAsia="zh-CN" w:bidi="ar-SA"/>
        </w:rPr>
        <w:t>：</w:t>
      </w:r>
      <w:r>
        <w:rPr>
          <w:rFonts w:hint="eastAsia" w:ascii="宋体" w:hAnsi="宋体" w:cs="宋体"/>
          <w:b/>
          <w:bCs/>
          <w:kern w:val="2"/>
          <w:sz w:val="24"/>
          <w:szCs w:val="24"/>
          <w:highlight w:val="none"/>
          <w:lang w:val="en-US" w:eastAsia="zh-CN" w:bidi="ar-SA"/>
        </w:rPr>
        <w:t>202</w:t>
      </w:r>
      <w:r>
        <w:rPr>
          <w:rFonts w:hint="eastAsia" w:cs="宋体"/>
          <w:b/>
          <w:bCs/>
          <w:kern w:val="2"/>
          <w:sz w:val="24"/>
          <w:szCs w:val="24"/>
          <w:highlight w:val="none"/>
          <w:lang w:val="en-US" w:eastAsia="zh-CN" w:bidi="ar-SA"/>
        </w:rPr>
        <w:t>5</w:t>
      </w:r>
      <w:r>
        <w:rPr>
          <w:rFonts w:hint="eastAsia" w:ascii="宋体" w:hAnsi="宋体" w:cs="宋体"/>
          <w:b/>
          <w:bCs/>
          <w:kern w:val="2"/>
          <w:sz w:val="24"/>
          <w:szCs w:val="24"/>
          <w:highlight w:val="none"/>
          <w:lang w:val="en-US" w:eastAsia="zh-CN" w:bidi="ar-SA"/>
        </w:rPr>
        <w:t xml:space="preserve">年 </w:t>
      </w:r>
      <w:r>
        <w:rPr>
          <w:rFonts w:hint="eastAsia" w:cs="宋体"/>
          <w:b/>
          <w:bCs/>
          <w:kern w:val="2"/>
          <w:sz w:val="24"/>
          <w:szCs w:val="24"/>
          <w:highlight w:val="none"/>
          <w:lang w:val="en-US" w:eastAsia="zh-CN" w:bidi="ar-SA"/>
        </w:rPr>
        <w:t>8月3</w:t>
      </w:r>
      <w:r>
        <w:rPr>
          <w:rFonts w:hint="eastAsia" w:ascii="宋体" w:hAnsi="宋体" w:cs="宋体"/>
          <w:b/>
          <w:bCs/>
          <w:kern w:val="2"/>
          <w:sz w:val="24"/>
          <w:szCs w:val="24"/>
          <w:highlight w:val="none"/>
          <w:lang w:val="en-US" w:eastAsia="zh-CN" w:bidi="ar-SA"/>
        </w:rPr>
        <w:t>日1</w:t>
      </w:r>
      <w:r>
        <w:rPr>
          <w:rFonts w:hint="eastAsia" w:cs="宋体"/>
          <w:b/>
          <w:bCs/>
          <w:kern w:val="2"/>
          <w:sz w:val="24"/>
          <w:szCs w:val="24"/>
          <w:highlight w:val="none"/>
          <w:lang w:val="en-US" w:eastAsia="zh-CN" w:bidi="ar-SA"/>
        </w:rPr>
        <w:t>7</w:t>
      </w:r>
      <w:r>
        <w:rPr>
          <w:rFonts w:hint="eastAsia" w:ascii="宋体" w:hAnsi="宋体" w:cs="宋体"/>
          <w:b/>
          <w:bCs/>
          <w:kern w:val="2"/>
          <w:sz w:val="24"/>
          <w:szCs w:val="24"/>
          <w:highlight w:val="none"/>
          <w:lang w:val="en-US" w:eastAsia="zh-CN" w:bidi="ar-SA"/>
        </w:rPr>
        <w:t>时00分</w:t>
      </w:r>
      <w:r>
        <w:rPr>
          <w:rFonts w:hint="eastAsia" w:ascii="宋体" w:hAnsi="宋体" w:eastAsia="宋体" w:cs="宋体"/>
          <w:b/>
          <w:bCs/>
          <w:kern w:val="2"/>
          <w:sz w:val="24"/>
          <w:szCs w:val="24"/>
          <w:highlight w:val="none"/>
          <w:lang w:val="en-US" w:eastAsia="zh-CN" w:bidi="ar-SA"/>
        </w:rPr>
        <w:t>（北京时间），</w:t>
      </w:r>
      <w:r>
        <w:rPr>
          <w:rFonts w:hint="eastAsia" w:ascii="宋体" w:hAnsi="宋体" w:eastAsia="宋体" w:cs="宋体"/>
          <w:kern w:val="2"/>
          <w:sz w:val="24"/>
          <w:szCs w:val="24"/>
          <w:highlight w:val="none"/>
          <w:lang w:val="en-US" w:eastAsia="zh-CN" w:bidi="ar-SA"/>
        </w:rPr>
        <w:t>比选申请人应于递交比选申请文件截止时间之前将比选申请文件送达评审地点，逾期送达的将被拒绝。</w:t>
      </w:r>
      <w:r>
        <w:rPr>
          <w:rFonts w:hint="eastAsia" w:ascii="宋体" w:hAnsi="宋体" w:eastAsia="宋体" w:cs="宋体"/>
          <w:sz w:val="24"/>
          <w:szCs w:val="24"/>
          <w:highlight w:val="none"/>
          <w:lang w:val="en-US" w:eastAsia="zh-CN"/>
        </w:rPr>
        <w:t xml:space="preserve">比选申请文件密封在一个文件内，封面标明项目名称及比选申请单位名称，并在密封处加盖比选申请单位公章。 </w:t>
      </w:r>
    </w:p>
    <w:p w14:paraId="74F0D7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lang w:val="en-US" w:eastAsia="zh-CN"/>
        </w:rPr>
        <w:t>、递交比选申请文件及评审地点：</w:t>
      </w:r>
      <w:r>
        <w:rPr>
          <w:rFonts w:hint="eastAsia" w:ascii="宋体" w:hAnsi="宋体" w:cs="宋体"/>
          <w:b/>
          <w:bCs w:val="0"/>
          <w:sz w:val="24"/>
          <w:szCs w:val="24"/>
          <w:highlight w:val="none"/>
          <w:lang w:val="en-US" w:eastAsia="zh-CN"/>
        </w:rPr>
        <w:t>成都市温江区和盛镇中心幼儿园</w:t>
      </w:r>
    </w:p>
    <w:p w14:paraId="19A812F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440" w:lineRule="exact"/>
        <w:ind w:left="0" w:leftChars="0" w:right="0" w:firstLine="482" w:firstLineChars="200"/>
        <w:textAlignment w:val="auto"/>
        <w:rPr>
          <w:rFonts w:hint="eastAsia"/>
          <w:lang w:val="en-US" w:eastAsia="zh-CN"/>
        </w:rPr>
      </w:pPr>
      <w:r>
        <w:rPr>
          <w:rStyle w:val="18"/>
          <w:rFonts w:hint="eastAsia" w:ascii="Times New Roman" w:hAnsi="Times New Roman" w:cs="Times New Roman"/>
          <w:lang w:val="en-US" w:eastAsia="zh-CN"/>
        </w:rPr>
        <w:t>九、</w:t>
      </w:r>
      <w:r>
        <w:rPr>
          <w:rFonts w:hint="eastAsia"/>
          <w:b/>
          <w:bCs/>
          <w:u w:val="none"/>
          <w:lang w:val="en-US" w:eastAsia="zh-CN"/>
        </w:rPr>
        <w:t>比选程序和评分标准</w:t>
      </w:r>
    </w:p>
    <w:p w14:paraId="0967D5C8">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本次比选采购人将按照符合项目要求、质量和服务相等且合理低价的原则通过比较、选择、确定中选人。</w:t>
      </w:r>
    </w:p>
    <w:p w14:paraId="1506F7CC">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由采购人的比选小组</w:t>
      </w:r>
      <w:bookmarkStart w:id="8" w:name="_GoBack"/>
      <w:bookmarkEnd w:id="8"/>
      <w:r>
        <w:rPr>
          <w:rFonts w:hint="eastAsia" w:asciiTheme="minorEastAsia" w:hAnsiTheme="minorEastAsia" w:eastAsiaTheme="minorEastAsia" w:cstheme="minorEastAsia"/>
          <w:kern w:val="0"/>
          <w:sz w:val="24"/>
          <w:szCs w:val="24"/>
          <w:lang w:val="en-US" w:eastAsia="zh-CN" w:bidi="ar"/>
        </w:rPr>
        <w:t>择优选择中选单位。确定排序第一的为成交供应商，排名第一的成交供应商放弃成交的，采购人将确定排名第二的为成交供应商，依次类推。</w:t>
      </w:r>
    </w:p>
    <w:p w14:paraId="39FA859A">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会议结束后，采购人公布中选人，井向中选人发出中选通知书。</w:t>
      </w:r>
    </w:p>
    <w:p w14:paraId="5CF78AEC">
      <w:pPr>
        <w:numPr>
          <w:ilvl w:val="0"/>
          <w:numId w:val="3"/>
        </w:numPr>
        <w:tabs>
          <w:tab w:val="left" w:pos="647"/>
        </w:tabs>
        <w:bidi w:val="0"/>
        <w:spacing w:line="360" w:lineRule="auto"/>
        <w:ind w:firstLine="480" w:firstLineChars="200"/>
        <w:jc w:val="left"/>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中选方拟定项目合同草案，在采购人修改并经采购人律师出具审核意见后双方签订合同。</w:t>
      </w:r>
    </w:p>
    <w:p w14:paraId="3673439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十</w:t>
      </w:r>
      <w:r>
        <w:rPr>
          <w:rFonts w:hint="eastAsia" w:ascii="宋体" w:hAnsi="宋体" w:eastAsia="宋体" w:cs="宋体"/>
          <w:b/>
          <w:bCs/>
          <w:sz w:val="24"/>
          <w:szCs w:val="24"/>
          <w:highlight w:val="none"/>
          <w:lang w:val="en-US" w:eastAsia="zh-CN"/>
        </w:rPr>
        <w:t>、联系方式</w:t>
      </w:r>
    </w:p>
    <w:p w14:paraId="5FAA792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contextualSpacing/>
        <w:textAlignment w:val="auto"/>
        <w:rPr>
          <w:rFonts w:hint="eastAsia" w:cs="宋体"/>
          <w:color w:val="auto"/>
          <w:sz w:val="24"/>
          <w:szCs w:val="24"/>
          <w:highlight w:val="none"/>
          <w:lang w:val="en-US" w:eastAsia="zh-CN"/>
        </w:rPr>
      </w:pPr>
      <w:r>
        <w:rPr>
          <w:rFonts w:hint="eastAsia" w:ascii="宋体" w:hAnsi="宋体" w:eastAsia="宋体" w:cs="宋体"/>
          <w:color w:val="auto"/>
          <w:sz w:val="24"/>
          <w:szCs w:val="24"/>
        </w:rPr>
        <w:t>联 系 人：</w:t>
      </w:r>
      <w:r>
        <w:rPr>
          <w:rFonts w:hint="eastAsia" w:cs="宋体"/>
          <w:color w:val="auto"/>
          <w:sz w:val="24"/>
          <w:szCs w:val="24"/>
          <w:highlight w:val="none"/>
          <w:lang w:val="en-US" w:eastAsia="zh-CN"/>
        </w:rPr>
        <w:t xml:space="preserve">郭老师                                     </w:t>
      </w:r>
    </w:p>
    <w:p w14:paraId="19C0C33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contextualSpacing/>
        <w:textAlignment w:val="auto"/>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rPr>
        <w:t>联系电话：</w:t>
      </w:r>
      <w:r>
        <w:rPr>
          <w:rFonts w:hint="eastAsia" w:cs="宋体"/>
          <w:color w:val="auto"/>
          <w:sz w:val="24"/>
          <w:szCs w:val="24"/>
          <w:highlight w:val="none"/>
          <w:lang w:val="en-US" w:eastAsia="zh-CN"/>
        </w:rPr>
        <w:t xml:space="preserve">18908070193  </w:t>
      </w:r>
      <w:r>
        <w:rPr>
          <w:rFonts w:hint="eastAsia" w:cs="宋体"/>
          <w:color w:val="auto"/>
          <w:sz w:val="24"/>
          <w:szCs w:val="24"/>
          <w:lang w:val="en-US" w:eastAsia="zh-CN"/>
        </w:rPr>
        <w:t xml:space="preserve">   </w:t>
      </w:r>
    </w:p>
    <w:p w14:paraId="3DFB89CC">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r>
        <w:rPr>
          <w:rFonts w:hint="eastAsia" w:ascii="宋体" w:hAnsi="宋体" w:eastAsia="宋体" w:cs="宋体"/>
          <w:color w:val="auto"/>
          <w:sz w:val="24"/>
          <w:szCs w:val="24"/>
        </w:rPr>
        <w:t>地    址：成都市</w:t>
      </w:r>
      <w:r>
        <w:rPr>
          <w:rFonts w:hint="eastAsia" w:asciiTheme="minorEastAsia" w:hAnsiTheme="minorEastAsia" w:eastAsiaTheme="minorEastAsia" w:cstheme="minorEastAsia"/>
          <w:color w:val="auto"/>
          <w:sz w:val="24"/>
          <w:szCs w:val="24"/>
          <w:lang w:val="en-US" w:eastAsia="zh-CN"/>
        </w:rPr>
        <w:t>温江区和盛镇中心幼儿园</w:t>
      </w:r>
      <w:r>
        <w:rPr>
          <w:rFonts w:hint="eastAsia"/>
          <w:color w:val="auto"/>
          <w:lang w:val="en-US" w:eastAsia="zh-CN"/>
        </w:rPr>
        <w:t xml:space="preserve">   </w:t>
      </w:r>
    </w:p>
    <w:p w14:paraId="64703084">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p>
    <w:p w14:paraId="02DAC80C">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p>
    <w:p w14:paraId="11818E4D">
      <w:pPr>
        <w:pageBreakBefore w:val="0"/>
        <w:widowControl w:val="0"/>
        <w:kinsoku/>
        <w:wordWrap/>
        <w:overflowPunct/>
        <w:topLinePunct w:val="0"/>
        <w:autoSpaceDE/>
        <w:autoSpaceDN/>
        <w:bidi w:val="0"/>
        <w:adjustRightInd/>
        <w:spacing w:line="440" w:lineRule="exact"/>
        <w:ind w:left="0" w:leftChars="0" w:firstLine="480" w:firstLineChars="200"/>
        <w:jc w:val="both"/>
        <w:textAlignment w:val="auto"/>
        <w:rPr>
          <w:rFonts w:hint="eastAsia"/>
          <w:color w:val="auto"/>
          <w:lang w:val="en-US" w:eastAsia="zh-CN"/>
        </w:rPr>
      </w:pPr>
    </w:p>
    <w:p w14:paraId="18B90D56">
      <w:pPr>
        <w:pageBreakBefore w:val="0"/>
        <w:widowControl w:val="0"/>
        <w:kinsoku/>
        <w:wordWrap/>
        <w:overflowPunct/>
        <w:topLinePunct w:val="0"/>
        <w:autoSpaceDE/>
        <w:autoSpaceDN/>
        <w:bidi w:val="0"/>
        <w:adjustRightInd/>
        <w:spacing w:line="360" w:lineRule="auto"/>
        <w:ind w:firstLine="4800" w:firstLineChars="2000"/>
        <w:jc w:val="right"/>
        <w:textAlignment w:val="auto"/>
        <w:rPr>
          <w:rFonts w:hint="eastAsia" w:asciiTheme="minorEastAsia" w:hAnsiTheme="minorEastAsia" w:eastAsiaTheme="minorEastAsia" w:cstheme="minorEastAsia"/>
          <w:color w:val="auto"/>
          <w:sz w:val="24"/>
          <w:szCs w:val="24"/>
          <w:lang w:val="en-US" w:eastAsia="zh-CN"/>
        </w:rPr>
      </w:pPr>
      <w:r>
        <w:rPr>
          <w:rFonts w:hint="eastAsia" w:ascii="宋体" w:hAnsi="宋体" w:eastAsia="宋体" w:cs="宋体"/>
          <w:color w:val="auto"/>
          <w:sz w:val="24"/>
          <w:szCs w:val="24"/>
        </w:rPr>
        <w:t>成都市</w:t>
      </w:r>
      <w:r>
        <w:rPr>
          <w:rFonts w:hint="eastAsia" w:asciiTheme="minorEastAsia" w:hAnsiTheme="minorEastAsia" w:eastAsiaTheme="minorEastAsia" w:cstheme="minorEastAsia"/>
          <w:color w:val="auto"/>
          <w:sz w:val="24"/>
          <w:szCs w:val="24"/>
          <w:lang w:val="en-US" w:eastAsia="zh-CN"/>
        </w:rPr>
        <w:t>温江区和盛镇中心幼儿园</w:t>
      </w:r>
    </w:p>
    <w:p w14:paraId="65C48155">
      <w:pPr>
        <w:pStyle w:val="5"/>
        <w:spacing w:line="360" w:lineRule="auto"/>
        <w:ind w:firstLine="5520" w:firstLineChars="2300"/>
        <w:jc w:val="righ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2025年7月</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lang w:val="en-US" w:eastAsia="zh-CN"/>
        </w:rPr>
        <w:t>日</w:t>
      </w:r>
      <w:bookmarkEnd w:id="0"/>
    </w:p>
    <w:p w14:paraId="73F5B3F3">
      <w:pPr>
        <w:rPr>
          <w:rFonts w:hint="eastAsia"/>
          <w:lang w:val="en-US" w:eastAsia="zh-CN"/>
        </w:rPr>
      </w:pPr>
      <w:r>
        <w:rPr>
          <w:rFonts w:hint="eastAsia"/>
          <w:lang w:val="en-US" w:eastAsia="zh-CN"/>
        </w:rPr>
        <w:br w:type="page"/>
      </w:r>
    </w:p>
    <w:p w14:paraId="1D6F95C0">
      <w:pPr>
        <w:numPr>
          <w:ilvl w:val="0"/>
          <w:numId w:val="0"/>
        </w:numPr>
        <w:spacing w:line="360" w:lineRule="auto"/>
        <w:outlineLvl w:val="1"/>
        <w:rPr>
          <w:rFonts w:hint="default" w:ascii="宋体" w:hAnsi="宋体" w:eastAsia="宋体" w:cs="宋体"/>
          <w:b/>
          <w:bCs/>
          <w:color w:val="auto"/>
          <w:sz w:val="24"/>
          <w:szCs w:val="24"/>
          <w:highlight w:val="none"/>
          <w:lang w:val="en-US" w:eastAsia="zh-CN"/>
        </w:rPr>
      </w:pPr>
      <w:bookmarkStart w:id="4" w:name="_Toc217446096"/>
      <w:bookmarkStart w:id="5" w:name="_Toc32244"/>
      <w:r>
        <w:rPr>
          <w:rFonts w:hint="eastAsia" w:cs="宋体"/>
          <w:b/>
          <w:bCs/>
          <w:color w:val="auto"/>
          <w:sz w:val="24"/>
          <w:szCs w:val="24"/>
          <w:highlight w:val="none"/>
          <w:lang w:val="en-US" w:eastAsia="zh-CN"/>
        </w:rPr>
        <w:t>附件《产品清单》</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834"/>
        <w:gridCol w:w="661"/>
        <w:gridCol w:w="667"/>
        <w:gridCol w:w="6098"/>
      </w:tblGrid>
      <w:tr w14:paraId="7E8F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0CAB5">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bookmarkStart w:id="6" w:name="_Toc130507712"/>
            <w:bookmarkStart w:id="7" w:name="_Toc9178"/>
            <w:r>
              <w:rPr>
                <w:rFonts w:hint="eastAsia" w:ascii="宋体" w:hAnsi="宋体" w:eastAsia="宋体" w:cs="宋体"/>
                <w:b w:val="0"/>
                <w:bCs w:val="0"/>
                <w:i w:val="0"/>
                <w:iCs w:val="0"/>
                <w:color w:val="000000"/>
                <w:kern w:val="0"/>
                <w:sz w:val="21"/>
                <w:szCs w:val="21"/>
                <w:u w:val="none"/>
                <w:lang w:val="en-US" w:eastAsia="zh-CN" w:bidi="ar"/>
              </w:rPr>
              <w:t>序号</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4F790">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344B">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7C74">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3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5970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技术参数</w:t>
            </w:r>
          </w:p>
        </w:tc>
      </w:tr>
      <w:tr w14:paraId="0103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F07CF">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0D46D">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全自动液压升降柱</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0E031">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E797">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3AA3B">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 xml:space="preserve">升降速度150mm/秒，运行噪音：≤65dB；直径≥219mm； 阻挡高度≥600mm；厚度≥6mm，预埋深度≥1100mm；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2.地面车辆碾压承重盘厚度≥15mm，直径≥400mm； 表面处理工艺为车光面，须带防滑纹（宽度≥5mm，深度≥1mm），要求抗拉强度≥650 Mpa、屈服强度≥280 Mpa、断后伸长率≥55%；</w:t>
            </w:r>
          </w:p>
          <w:p w14:paraId="1C195BB1">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3.油浸一体式液压电机：能浸入水下2m，以2min/次运行200H小时后不低于GB/T 4208-2017标准中IP68等级要求；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4.可靠性：连续升降≥5000次无停机及无故障；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5.路障外表粘贴有至少 1 条带警示标语的反光安全警示标志，宽度≥50mm 可更换,警示标志须满足 GB/T 18833-2012 中附着性能、抗拉载荷、耐溶剂性（至少包括耐汽油性能、耐乙醇性能、耐甲醇性能、耐煤油性能）、耐盐雾符蚀性能、耐候性能的要求；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6.路障配有无线遥控器可控制升降，遥控距离≥50M；柱体外带有储线盒，出线口离地面高度≥90mm；</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7.升降柱采用电动液压一体全密封动力单元。整机产品须具有符合公安部《GA/T1343-2016防暴升降路障》实车碰撞型式检测报告≥D级。</w:t>
            </w:r>
          </w:p>
        </w:tc>
      </w:tr>
      <w:tr w14:paraId="241F3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42A0">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7676">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液压升降柱控制系统</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FB0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1072">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B3DC6">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lang w:val="en-US" w:eastAsia="zh-CN" w:bidi="ar"/>
              </w:rPr>
              <w:t>1.</w:t>
            </w:r>
            <w:r>
              <w:rPr>
                <w:rFonts w:hint="eastAsia" w:ascii="宋体" w:hAnsi="宋体" w:eastAsia="宋体" w:cs="宋体"/>
                <w:b w:val="0"/>
                <w:bCs w:val="0"/>
                <w:i w:val="0"/>
                <w:iCs w:val="0"/>
                <w:color w:val="000000"/>
                <w:kern w:val="0"/>
                <w:sz w:val="21"/>
                <w:szCs w:val="21"/>
                <w:u w:val="none"/>
                <w:lang w:val="en-US" w:eastAsia="zh-CN" w:bidi="ar"/>
              </w:rPr>
              <w:t>防护等级：不低于GB/T 4208-2017标准中IP66等级要求；</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2.产品运行时噪声≤40dB；</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3.联动控制：数据信号传输接口，可与门禁、第三方管理平台、报警、人脸识别系统等实现联动控制；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4.振动试验：符合频率10～55～10Hz、振幅10mm，每一轴向循环扫频10次，每次时间为10min；</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5.冲撞试验：符合加速度15g、脉冲宽度11ms，每一轴向3次，6轴向；</w:t>
            </w:r>
          </w:p>
          <w:p w14:paraId="009D102B">
            <w:pPr>
              <w:keepNext w:val="0"/>
              <w:keepLines w:val="0"/>
              <w:widowControl/>
              <w:numPr>
                <w:ilvl w:val="0"/>
                <w:numId w:val="0"/>
              </w:numPr>
              <w:suppressLineNumbers w:val="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 xml:space="preserve">6.恒定湿热：符合+50±2℃ RH（90+2-3）% 48h；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7.分组升降 ：控制电路可对升降路障的上升和下降，实现分组控制；</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8.抽水控制：控制电路配有水位感应装置，当路障柱体内水位达到设定值时，可自动启动水泵抽排水；</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9.无信号输入，无操作指令，不会自动运行，不会输出指令，应具备开优先功能，有地感红外保护接口。</w:t>
            </w:r>
          </w:p>
        </w:tc>
      </w:tr>
      <w:tr w14:paraId="229E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EDD2">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FB44">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固定柱</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2EB1">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台</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39C5">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3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AE14">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1.固定柱地面盘直径400mm，大小法兰盘上均须带防滑纹，材质为304不锈钢；</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2.采用国标304材质，Cr18%，Ni9%，S0.001%；</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 xml:space="preserve">3.直径219mm； 阻挡高度600mm；厚度6mm；安装方式为预埋，外表粘贴有1条反光安全警示标志，宽度50mm，可更换；  </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4.固定柱LED灯电压为DC12V，抗冲能量0.4Nm，具有防触电保护，绝缘电阻200MΩ。</w:t>
            </w:r>
          </w:p>
        </w:tc>
      </w:tr>
      <w:tr w14:paraId="65CA3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5714B">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93821">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系统集成</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72272">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项</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6BFF">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30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A86B">
            <w:pPr>
              <w:keepNext w:val="0"/>
              <w:keepLines w:val="0"/>
              <w:widowControl/>
              <w:suppressLineNumbers w:val="0"/>
              <w:ind w:left="0" w:leftChars="0" w:firstLine="0" w:firstLineChars="0"/>
              <w:jc w:val="left"/>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1.人工开槽，原始设备破路，C25、河沙、河卵石原始路面恢复；</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2.预埋固定钢筋及人工焊接，挖设排水沟管道；</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3.控制线缆RVV7*1.5、供电线缆BV3*4.0+1、电源插板、PVC管、线槽等辅材。</w:t>
            </w:r>
          </w:p>
        </w:tc>
      </w:tr>
      <w:bookmarkEnd w:id="4"/>
      <w:bookmarkEnd w:id="5"/>
      <w:bookmarkEnd w:id="6"/>
      <w:bookmarkEnd w:id="7"/>
    </w:tbl>
    <w:p w14:paraId="72168838">
      <w:pPr>
        <w:ind w:left="0" w:leftChars="0" w:firstLine="0" w:firstLineChars="0"/>
        <w:rPr>
          <w:rFonts w:hint="default"/>
          <w:lang w:val="en-US" w:eastAsia="zh-CN"/>
        </w:rPr>
      </w:pPr>
    </w:p>
    <w:sectPr>
      <w:headerReference r:id="rId5" w:type="default"/>
      <w:footerReference r:id="rId6" w:type="default"/>
      <w:pgSz w:w="11906" w:h="16838"/>
      <w:pgMar w:top="1100" w:right="1100" w:bottom="1100" w:left="110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ucida Grande">
    <w:altName w:val="Courier New"/>
    <w:panose1 w:val="020B0600040502020204"/>
    <w:charset w:val="00"/>
    <w:family w:val="auto"/>
    <w:pitch w:val="default"/>
    <w:sig w:usb0="00000000" w:usb1="00000000" w:usb2="00000000" w:usb3="00000000" w:csb0="200001BF" w:csb1="4F010000"/>
  </w:font>
  <w:font w:name="ヒラギノ角ゴ Pro W3">
    <w:altName w:val="PopRumCute"/>
    <w:panose1 w:val="020B0300000000000000"/>
    <w:charset w:val="80"/>
    <w:family w:val="auto"/>
    <w:pitch w:val="default"/>
    <w:sig w:usb0="00000000" w:usb1="00000000" w:usb2="00000012" w:usb3="00000000" w:csb0="0002000D" w:csb1="00000000"/>
  </w:font>
  <w:font w:name="PopRumCute">
    <w:panose1 w:val="02000600000000000000"/>
    <w:charset w:val="80"/>
    <w:family w:val="auto"/>
    <w:pitch w:val="default"/>
    <w:sig w:usb0="A00002FF" w:usb1="68C7FEFF" w:usb2="00000012" w:usb3="00000000" w:csb0="0002000D"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0EBD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1505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81505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0D0ED">
    <w:pPr>
      <w:pStyle w:val="10"/>
      <w:pBdr>
        <w:bottom w:val="none" w:color="auto" w:sz="0" w:space="1"/>
      </w:pBdr>
      <w:ind w:firstLine="361"/>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5854B0"/>
    <w:multiLevelType w:val="singleLevel"/>
    <w:tmpl w:val="F65854B0"/>
    <w:lvl w:ilvl="0" w:tentative="0">
      <w:start w:val="1"/>
      <w:numFmt w:val="decimal"/>
      <w:suff w:val="nothing"/>
      <w:lvlText w:val="%1、"/>
      <w:lvlJc w:val="left"/>
      <w:rPr>
        <w:rFonts w:hint="default" w:ascii="宋体" w:hAnsi="宋体" w:eastAsia="宋体" w:cs="宋体"/>
      </w:rPr>
    </w:lvl>
  </w:abstractNum>
  <w:abstractNum w:abstractNumId="1">
    <w:nsid w:val="17832B18"/>
    <w:multiLevelType w:val="multilevel"/>
    <w:tmpl w:val="17832B18"/>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C6CBB3E"/>
    <w:multiLevelType w:val="singleLevel"/>
    <w:tmpl w:val="1C6CBB3E"/>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yMDEyOTM0M2FlMmI1NmVlZWYwODM5MTVlY2M2ZTQifQ=="/>
  </w:docVars>
  <w:rsids>
    <w:rsidRoot w:val="38892F97"/>
    <w:rsid w:val="00C14087"/>
    <w:rsid w:val="02405F8A"/>
    <w:rsid w:val="031A4A2D"/>
    <w:rsid w:val="057051D0"/>
    <w:rsid w:val="07BC46AE"/>
    <w:rsid w:val="0B057C7D"/>
    <w:rsid w:val="0D9773A6"/>
    <w:rsid w:val="10E813C1"/>
    <w:rsid w:val="14B12C28"/>
    <w:rsid w:val="157A4BD8"/>
    <w:rsid w:val="1A9F5AEC"/>
    <w:rsid w:val="1F203EE8"/>
    <w:rsid w:val="205770B1"/>
    <w:rsid w:val="2A7F3D80"/>
    <w:rsid w:val="2E7C75D0"/>
    <w:rsid w:val="2F770B59"/>
    <w:rsid w:val="31182B58"/>
    <w:rsid w:val="38892F97"/>
    <w:rsid w:val="3BB05928"/>
    <w:rsid w:val="3BDE7D99"/>
    <w:rsid w:val="3C6127A9"/>
    <w:rsid w:val="3EE55913"/>
    <w:rsid w:val="43981D80"/>
    <w:rsid w:val="442600C0"/>
    <w:rsid w:val="487718BC"/>
    <w:rsid w:val="4B0A36C7"/>
    <w:rsid w:val="532F6C45"/>
    <w:rsid w:val="56220AB1"/>
    <w:rsid w:val="59F36CDF"/>
    <w:rsid w:val="5B2A30A1"/>
    <w:rsid w:val="5BB029AE"/>
    <w:rsid w:val="5E073C5C"/>
    <w:rsid w:val="62867F0C"/>
    <w:rsid w:val="6D0577A1"/>
    <w:rsid w:val="6EB96263"/>
    <w:rsid w:val="703717D4"/>
    <w:rsid w:val="70B11649"/>
    <w:rsid w:val="72606E3D"/>
    <w:rsid w:val="737970D6"/>
    <w:rsid w:val="74B94B7B"/>
    <w:rsid w:val="77FC2DAB"/>
    <w:rsid w:val="785959D3"/>
    <w:rsid w:val="7DED0928"/>
    <w:rsid w:val="7E6B25BB"/>
    <w:rsid w:val="7FF02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200" w:firstLineChars="200"/>
      <w:jc w:val="both"/>
    </w:pPr>
    <w:rPr>
      <w:rFonts w:ascii="宋体" w:hAnsi="宋体" w:eastAsia="宋体" w:cs="宋体"/>
      <w:kern w:val="2"/>
      <w:sz w:val="24"/>
      <w:szCs w:val="22"/>
      <w:lang w:val="en-US" w:eastAsia="zh-CN" w:bidi="ar-SA"/>
    </w:rPr>
  </w:style>
  <w:style w:type="paragraph" w:styleId="2">
    <w:name w:val="heading 1"/>
    <w:basedOn w:val="1"/>
    <w:next w:val="1"/>
    <w:qFormat/>
    <w:uiPriority w:val="0"/>
    <w:pPr>
      <w:keepNext/>
      <w:keepLines/>
      <w:numPr>
        <w:ilvl w:val="0"/>
        <w:numId w:val="1"/>
      </w:numPr>
      <w:spacing w:before="100" w:beforeLines="100" w:line="360" w:lineRule="auto"/>
      <w:ind w:left="0" w:firstLine="0" w:firstLineChars="0"/>
      <w:jc w:val="left"/>
      <w:outlineLvl w:val="0"/>
    </w:pPr>
    <w:rPr>
      <w:rFonts w:cs="Times New Roman"/>
      <w:b/>
      <w:bCs/>
      <w:spacing w:val="-20"/>
      <w:kern w:val="44"/>
      <w:sz w:val="30"/>
      <w:szCs w:val="32"/>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Body Text"/>
    <w:basedOn w:val="1"/>
    <w:next w:val="6"/>
    <w:qFormat/>
    <w:uiPriority w:val="0"/>
    <w:pPr>
      <w:spacing w:after="120"/>
    </w:pPr>
  </w:style>
  <w:style w:type="paragraph" w:styleId="6">
    <w:name w:val="Plain Text"/>
    <w:basedOn w:val="1"/>
    <w:qFormat/>
    <w:uiPriority w:val="0"/>
    <w:rPr>
      <w:rFonts w:ascii="宋体" w:hAnsi="Courier New"/>
      <w:szCs w:val="21"/>
    </w:rPr>
  </w:style>
  <w:style w:type="paragraph" w:styleId="7">
    <w:name w:val="Body Text Indent"/>
    <w:basedOn w:val="1"/>
    <w:qFormat/>
    <w:uiPriority w:val="0"/>
    <w:pPr>
      <w:ind w:firstLine="630"/>
    </w:pPr>
    <w:rPr>
      <w:sz w:val="32"/>
    </w:rPr>
  </w:style>
  <w:style w:type="paragraph" w:styleId="8">
    <w:name w:val="Body Text Indent 2"/>
    <w:basedOn w:val="1"/>
    <w:qFormat/>
    <w:uiPriority w:val="0"/>
    <w:pPr>
      <w:ind w:firstLine="630"/>
    </w:pPr>
    <w:rPr>
      <w:sz w:val="32"/>
    </w:rPr>
  </w:style>
  <w:style w:type="paragraph" w:styleId="9">
    <w:name w:val="footer"/>
    <w:basedOn w:val="1"/>
    <w:qFormat/>
    <w:uiPriority w:val="99"/>
    <w:pPr>
      <w:tabs>
        <w:tab w:val="center" w:pos="4153"/>
        <w:tab w:val="right" w:pos="8306"/>
      </w:tabs>
      <w:snapToGrid w:val="0"/>
      <w:spacing w:line="240" w:lineRule="atLeast"/>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20"/>
    </w:rPr>
  </w:style>
  <w:style w:type="paragraph" w:styleId="11">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2">
    <w:name w:val="toc 6"/>
    <w:basedOn w:val="1"/>
    <w:next w:val="1"/>
    <w:qFormat/>
    <w:uiPriority w:val="0"/>
    <w:pPr>
      <w:tabs>
        <w:tab w:val="left" w:pos="0"/>
      </w:tabs>
      <w:ind w:left="21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7"/>
    <w:qFormat/>
    <w:uiPriority w:val="0"/>
    <w:pPr>
      <w:spacing w:after="120"/>
      <w:ind w:left="420" w:leftChars="200" w:firstLine="420" w:firstLineChars="200"/>
    </w:pPr>
    <w:rPr>
      <w:sz w:val="21"/>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p0_0"/>
    <w:basedOn w:val="20"/>
    <w:qFormat/>
    <w:uiPriority w:val="0"/>
    <w:pPr>
      <w:widowControl/>
    </w:pPr>
    <w:rPr>
      <w:kern w:val="0"/>
      <w:szCs w:val="20"/>
    </w:rPr>
  </w:style>
  <w:style w:type="paragraph" w:customStyle="1" w:styleId="20">
    <w:name w:val="正文_0"/>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character" w:customStyle="1" w:styleId="21">
    <w:name w:val="标题 3 Char Char Char"/>
    <w:qFormat/>
    <w:uiPriority w:val="0"/>
    <w:rPr>
      <w:rFonts w:eastAsia="宋体"/>
      <w:b/>
      <w:kern w:val="2"/>
      <w:sz w:val="32"/>
      <w:lang w:val="en-US" w:eastAsia="zh-CN" w:bidi="ar-SA"/>
    </w:rPr>
  </w:style>
  <w:style w:type="paragraph" w:customStyle="1" w:styleId="22">
    <w:name w:val="正文首行缩进两字符"/>
    <w:basedOn w:val="1"/>
    <w:qFormat/>
    <w:uiPriority w:val="0"/>
    <w:pPr>
      <w:spacing w:line="360" w:lineRule="auto"/>
      <w:ind w:firstLine="200" w:firstLineChars="200"/>
    </w:pPr>
    <w:rPr>
      <w:szCs w:val="24"/>
    </w:rPr>
  </w:style>
  <w:style w:type="paragraph" w:customStyle="1" w:styleId="23">
    <w:name w:val="Default"/>
    <w:qFormat/>
    <w:uiPriority w:val="0"/>
    <w:pPr>
      <w:widowControl w:val="0"/>
      <w:suppressAutoHyphens/>
      <w:jc w:val="both"/>
    </w:pPr>
    <w:rPr>
      <w:rFonts w:ascii="Lucida Grande" w:hAnsi="Lucida Grande" w:eastAsia="ヒラギノ角ゴ Pro W3" w:cs="Times New Roman"/>
      <w:color w:val="000000"/>
      <w:kern w:val="1"/>
      <w:sz w:val="24"/>
      <w:lang w:val="en-US" w:eastAsia="zh-CN" w:bidi="ar-SA"/>
    </w:rPr>
  </w:style>
  <w:style w:type="paragraph" w:customStyle="1" w:styleId="24">
    <w:name w:val="表格"/>
    <w:basedOn w:val="1"/>
    <w:qFormat/>
    <w:uiPriority w:val="0"/>
    <w:pPr>
      <w:spacing w:line="400" w:lineRule="exact"/>
    </w:pPr>
    <w:rPr>
      <w:sz w:val="24"/>
      <w:szCs w:val="24"/>
    </w:rPr>
  </w:style>
  <w:style w:type="paragraph" w:customStyle="1" w:styleId="25">
    <w:name w:val="01、普通正文"/>
    <w:basedOn w:val="1"/>
    <w:next w:val="12"/>
    <w:qFormat/>
    <w:uiPriority w:val="0"/>
    <w:pPr>
      <w:tabs>
        <w:tab w:val="left" w:pos="0"/>
      </w:tabs>
      <w:wordWrap w:val="0"/>
      <w:topLinePunct/>
    </w:pPr>
    <w:rPr>
      <w:snapToGrid w:val="0"/>
    </w:rPr>
  </w:style>
  <w:style w:type="paragraph" w:customStyle="1" w:styleId="26">
    <w:name w:val="02、首行缩进2字符正文"/>
    <w:basedOn w:val="1"/>
    <w:qFormat/>
    <w:uiPriority w:val="0"/>
    <w:pPr>
      <w:tabs>
        <w:tab w:val="left" w:pos="0"/>
      </w:tabs>
      <w:wordWrap w:val="0"/>
      <w:topLinePunct/>
      <w:ind w:firstLine="480" w:firstLineChars="200"/>
    </w:pPr>
    <w:rPr>
      <w:rFonts w:ascii="宋体" w:hAnsi="宋体"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1735</Words>
  <Characters>1997</Characters>
  <Lines>0</Lines>
  <Paragraphs>0</Paragraphs>
  <TotalTime>6</TotalTime>
  <ScaleCrop>false</ScaleCrop>
  <LinksUpToDate>false</LinksUpToDate>
  <CharactersWithSpaces>2099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2023-12-14T00:58:00Z</dcterms:created>
  <dc:creator>Administrator</dc:creator>
  <cp:lastModifiedBy>不若如初</cp:lastModifiedBy>
  <cp:lastPrinted>2024-10-29T04:36:00Z</cp:lastPrinted>
  <dcterms:modified xsi:type="dcterms:W3CDTF">2025-09-16T08:12:05Z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F9F57AFB32E34FF3AA496C8E5296FF4F_13</vt:lpwstr>
  </property>
  <property fmtid="{D5CDD505-2E9C-101B-9397-08002B2CF9AE}" pid="4" name="KSOTemplateDocerSaveRecord">
    <vt:lpwstr>eyJoZGlkIjoiODUyMDEyOTM0M2FlMmI1NmVlZWYwODM5MTVlY2M2ZTQiLCJ1c2VySWQiOiIyOTU5NzU4MjMifQ==</vt:lpwstr>
  </property>
</Properties>
</file>